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FE" w:rsidRDefault="00770164">
      <w:pPr>
        <w:pStyle w:val="Heading2"/>
        <w:spacing w:before="0" w:line="240" w:lineRule="auto"/>
        <w:rPr>
          <w:rFonts w:asciiTheme="minorHAnsi" w:hAnsiTheme="minorHAnsi" w:cs="Arial"/>
          <w:color w:val="auto"/>
          <w:sz w:val="28"/>
          <w:szCs w:val="28"/>
        </w:rPr>
      </w:pPr>
      <w:r w:rsidRPr="00770164">
        <w:rPr>
          <w:rFonts w:asciiTheme="minorHAnsi" w:hAnsiTheme="minorHAnsi" w:cs="Arial"/>
          <w:color w:val="auto"/>
          <w:sz w:val="28"/>
          <w:szCs w:val="28"/>
        </w:rPr>
        <w:t>Social Foundations: Conflict Resolution Learning Progression</w:t>
      </w:r>
    </w:p>
    <w:p w:rsidR="00C257FE" w:rsidRDefault="00C257FE">
      <w:pPr>
        <w:spacing w:after="0" w:line="240" w:lineRule="auto"/>
        <w:rPr>
          <w:rFonts w:cs="Arial"/>
          <w:b/>
          <w:bCs/>
        </w:rPr>
      </w:pPr>
    </w:p>
    <w:p w:rsidR="00C257FE" w:rsidRDefault="00C257FE">
      <w:pPr>
        <w:spacing w:after="0" w:line="240" w:lineRule="auto"/>
        <w:rPr>
          <w:rFonts w:cs="Arial"/>
          <w:b/>
          <w:bCs/>
        </w:rPr>
      </w:pPr>
    </w:p>
    <w:tbl>
      <w:tblPr>
        <w:tblStyle w:val="TableGrid"/>
        <w:tblpPr w:leftFromText="180" w:rightFromText="180" w:vertAnchor="text" w:tblpY="1"/>
        <w:tblOverlap w:val="never"/>
        <w:tblW w:w="5000" w:type="pct"/>
        <w:tblLook w:val="04A0"/>
      </w:tblPr>
      <w:tblGrid>
        <w:gridCol w:w="13176"/>
      </w:tblGrid>
      <w:tr w:rsidR="00A467BA" w:rsidRPr="00AF66E0">
        <w:trPr>
          <w:tblHeader/>
        </w:trPr>
        <w:tc>
          <w:tcPr>
            <w:tcW w:w="5000" w:type="pct"/>
          </w:tcPr>
          <w:p w:rsidR="00A467BA" w:rsidRPr="00AF66E0" w:rsidRDefault="00A467BA" w:rsidP="001D41AE">
            <w:pPr>
              <w:rPr>
                <w:rFonts w:cs="Arial"/>
              </w:rPr>
            </w:pPr>
            <w:r w:rsidRPr="00AF66E0">
              <w:rPr>
                <w:rFonts w:cs="Arial"/>
                <w:b/>
              </w:rPr>
              <w:t>Domain: Social Foundations</w:t>
            </w:r>
          </w:p>
        </w:tc>
      </w:tr>
      <w:tr w:rsidR="00A467BA" w:rsidRPr="00AF66E0">
        <w:trPr>
          <w:tblHeader/>
        </w:trPr>
        <w:tc>
          <w:tcPr>
            <w:tcW w:w="5000" w:type="pct"/>
            <w:shd w:val="clear" w:color="auto" w:fill="auto"/>
          </w:tcPr>
          <w:p w:rsidR="00A467BA" w:rsidRPr="00AF66E0" w:rsidRDefault="00A467BA" w:rsidP="001D41AE">
            <w:pPr>
              <w:rPr>
                <w:rFonts w:cs="Arial"/>
                <w:b/>
              </w:rPr>
            </w:pPr>
            <w:r w:rsidRPr="00AF66E0">
              <w:rPr>
                <w:rFonts w:cs="Arial"/>
                <w:b/>
              </w:rPr>
              <w:t>Strand: Social Emotional</w:t>
            </w:r>
          </w:p>
        </w:tc>
      </w:tr>
      <w:tr w:rsidR="00A467BA" w:rsidRPr="00AF66E0">
        <w:trPr>
          <w:tblHeader/>
        </w:trPr>
        <w:tc>
          <w:tcPr>
            <w:tcW w:w="5000" w:type="pct"/>
            <w:shd w:val="clear" w:color="auto" w:fill="auto"/>
          </w:tcPr>
          <w:p w:rsidR="00A467BA" w:rsidRPr="00AF66E0" w:rsidRDefault="00A467BA" w:rsidP="001D41AE">
            <w:pPr>
              <w:rPr>
                <w:rFonts w:cs="Arial"/>
                <w:b/>
              </w:rPr>
            </w:pPr>
            <w:r w:rsidRPr="00AF66E0">
              <w:rPr>
                <w:rFonts w:cs="Arial"/>
                <w:b/>
              </w:rPr>
              <w:t>Learning Progression: Conflict Resolution</w:t>
            </w:r>
          </w:p>
        </w:tc>
      </w:tr>
      <w:tr w:rsidR="00A467BA" w:rsidRPr="00AF66E0">
        <w:trPr>
          <w:tblHeader/>
        </w:trPr>
        <w:tc>
          <w:tcPr>
            <w:tcW w:w="5000" w:type="pct"/>
            <w:shd w:val="clear" w:color="auto" w:fill="auto"/>
          </w:tcPr>
          <w:p w:rsidR="00A467BA" w:rsidRPr="00AF66E0" w:rsidRDefault="00A467BA" w:rsidP="001D41AE">
            <w:pPr>
              <w:rPr>
                <w:rFonts w:cs="Arial"/>
                <w:b/>
              </w:rPr>
            </w:pPr>
            <w:r w:rsidRPr="00AF66E0">
              <w:rPr>
                <w:rFonts w:cs="Arial"/>
                <w:b/>
              </w:rPr>
              <w:t>Operational Definition:</w:t>
            </w:r>
            <w:r w:rsidRPr="00AF66E0">
              <w:rPr>
                <w:rStyle w:val="CommentReference"/>
                <w:rFonts w:cs="Arial"/>
              </w:rPr>
              <w:t xml:space="preserve"> </w:t>
            </w:r>
            <w:r w:rsidRPr="00AF66E0">
              <w:rPr>
                <w:rFonts w:cs="Arial"/>
                <w:b/>
              </w:rPr>
              <w:t>Demonstrates the ability to resolve social conflicts with peers</w:t>
            </w:r>
          </w:p>
        </w:tc>
      </w:tr>
    </w:tbl>
    <w:tbl>
      <w:tblPr>
        <w:tblStyle w:val="TableGrid"/>
        <w:tblW w:w="4993" w:type="pct"/>
        <w:tblLook w:val="04A0"/>
      </w:tblPr>
      <w:tblGrid>
        <w:gridCol w:w="856"/>
        <w:gridCol w:w="3074"/>
        <w:gridCol w:w="3076"/>
        <w:gridCol w:w="3076"/>
        <w:gridCol w:w="3076"/>
      </w:tblGrid>
      <w:tr w:rsidR="00A467BA" w:rsidRPr="00AF66E0" w:rsidTr="00D75ADF">
        <w:tc>
          <w:tcPr>
            <w:tcW w:w="325" w:type="pct"/>
          </w:tcPr>
          <w:p w:rsidR="00A467BA" w:rsidRPr="00AF66E0" w:rsidRDefault="00A467BA">
            <w:pPr>
              <w:jc w:val="center"/>
              <w:rPr>
                <w:rFonts w:cs="Arial"/>
                <w:b/>
              </w:rPr>
            </w:pPr>
          </w:p>
        </w:tc>
        <w:tc>
          <w:tcPr>
            <w:tcW w:w="1168" w:type="pct"/>
            <w:shd w:val="clear" w:color="auto" w:fill="auto"/>
          </w:tcPr>
          <w:p w:rsidR="00A467BA" w:rsidRPr="00AF66E0" w:rsidRDefault="00FF5E02">
            <w:pPr>
              <w:jc w:val="center"/>
              <w:rPr>
                <w:rFonts w:cs="Arial"/>
                <w:b/>
              </w:rPr>
            </w:pPr>
            <w:r w:rsidRPr="00AF66E0">
              <w:rPr>
                <w:rFonts w:cs="Arial"/>
                <w:b/>
              </w:rPr>
              <w:t>A</w:t>
            </w:r>
            <w:r w:rsidR="00A467BA" w:rsidRPr="00AF66E0">
              <w:rPr>
                <w:rFonts w:cs="Arial"/>
                <w:b/>
              </w:rPr>
              <w:t xml:space="preserve"> </w:t>
            </w:r>
          </w:p>
        </w:tc>
        <w:tc>
          <w:tcPr>
            <w:tcW w:w="1169" w:type="pct"/>
            <w:shd w:val="clear" w:color="auto" w:fill="auto"/>
          </w:tcPr>
          <w:p w:rsidR="00A467BA" w:rsidRPr="00AF66E0" w:rsidRDefault="00FF5E02">
            <w:pPr>
              <w:jc w:val="center"/>
              <w:rPr>
                <w:rFonts w:cs="Arial"/>
                <w:b/>
              </w:rPr>
            </w:pPr>
            <w:r w:rsidRPr="00AF66E0">
              <w:rPr>
                <w:rFonts w:cs="Arial"/>
                <w:b/>
              </w:rPr>
              <w:t>B</w:t>
            </w:r>
            <w:r w:rsidR="00A467BA" w:rsidRPr="00AF66E0">
              <w:rPr>
                <w:rFonts w:cs="Arial"/>
                <w:b/>
              </w:rPr>
              <w:t xml:space="preserve"> </w:t>
            </w:r>
          </w:p>
        </w:tc>
        <w:tc>
          <w:tcPr>
            <w:tcW w:w="1169" w:type="pct"/>
            <w:shd w:val="clear" w:color="auto" w:fill="auto"/>
          </w:tcPr>
          <w:p w:rsidR="00A467BA" w:rsidRPr="00AF66E0" w:rsidRDefault="00FF5E02">
            <w:pPr>
              <w:jc w:val="center"/>
              <w:rPr>
                <w:rFonts w:cs="Arial"/>
                <w:b/>
              </w:rPr>
            </w:pPr>
            <w:r w:rsidRPr="00AF66E0">
              <w:rPr>
                <w:rFonts w:cs="Arial"/>
                <w:b/>
              </w:rPr>
              <w:t>C</w:t>
            </w:r>
            <w:r w:rsidR="00A467BA" w:rsidRPr="00AF66E0">
              <w:rPr>
                <w:rFonts w:cs="Arial"/>
                <w:b/>
              </w:rPr>
              <w:t xml:space="preserve"> </w:t>
            </w:r>
          </w:p>
        </w:tc>
        <w:tc>
          <w:tcPr>
            <w:tcW w:w="1169" w:type="pct"/>
            <w:shd w:val="clear" w:color="auto" w:fill="auto"/>
          </w:tcPr>
          <w:p w:rsidR="00A467BA" w:rsidRPr="00AF66E0" w:rsidRDefault="00FF5E02">
            <w:pPr>
              <w:jc w:val="center"/>
              <w:rPr>
                <w:rFonts w:cs="Arial"/>
                <w:b/>
              </w:rPr>
            </w:pPr>
            <w:r w:rsidRPr="00AF66E0">
              <w:rPr>
                <w:rFonts w:cs="Arial"/>
                <w:b/>
              </w:rPr>
              <w:t>D</w:t>
            </w:r>
            <w:r w:rsidR="00A467BA" w:rsidRPr="00AF66E0">
              <w:rPr>
                <w:rFonts w:cs="Arial"/>
                <w:b/>
              </w:rPr>
              <w:t xml:space="preserve"> </w:t>
            </w:r>
          </w:p>
        </w:tc>
      </w:tr>
      <w:tr w:rsidR="00A467BA" w:rsidRPr="00AF66E0" w:rsidTr="00787C1A">
        <w:trPr>
          <w:cantSplit/>
          <w:trHeight w:val="1134"/>
        </w:trPr>
        <w:tc>
          <w:tcPr>
            <w:tcW w:w="325" w:type="pct"/>
            <w:textDirection w:val="btLr"/>
          </w:tcPr>
          <w:p w:rsidR="00A467BA" w:rsidRPr="00AF66E0" w:rsidRDefault="00A467BA">
            <w:pPr>
              <w:ind w:left="113" w:right="113"/>
              <w:jc w:val="right"/>
              <w:rPr>
                <w:rFonts w:cs="Arial"/>
                <w:b/>
              </w:rPr>
            </w:pPr>
            <w:r w:rsidRPr="00AF66E0">
              <w:rPr>
                <w:rFonts w:cs="Arial"/>
                <w:b/>
              </w:rPr>
              <w:t>Conflict Resolution Strategies</w:t>
            </w:r>
          </w:p>
        </w:tc>
        <w:tc>
          <w:tcPr>
            <w:tcW w:w="1168" w:type="pct"/>
            <w:shd w:val="clear" w:color="auto" w:fill="auto"/>
          </w:tcPr>
          <w:p w:rsidR="00A467BA" w:rsidRPr="00AF66E0" w:rsidRDefault="0039008F">
            <w:pPr>
              <w:rPr>
                <w:rFonts w:cs="Arial"/>
              </w:rPr>
            </w:pPr>
            <w:r>
              <w:t>Attends to other people.</w:t>
            </w:r>
          </w:p>
        </w:tc>
        <w:tc>
          <w:tcPr>
            <w:tcW w:w="1169" w:type="pct"/>
            <w:shd w:val="clear" w:color="auto" w:fill="auto"/>
          </w:tcPr>
          <w:p w:rsidR="00A467BA" w:rsidRPr="00AF66E0" w:rsidRDefault="00A467BA">
            <w:pPr>
              <w:pStyle w:val="ListParagraph"/>
              <w:ind w:left="0"/>
              <w:rPr>
                <w:rFonts w:cs="Arial"/>
              </w:rPr>
            </w:pPr>
            <w:r w:rsidRPr="00AF66E0">
              <w:rPr>
                <w:rFonts w:cs="Arial"/>
              </w:rPr>
              <w:t>Shows interest in peers and takes objects from them; requires redirection from adult.</w:t>
            </w:r>
          </w:p>
          <w:p w:rsidR="00A467BA" w:rsidRPr="00AF66E0" w:rsidRDefault="00A467BA">
            <w:pPr>
              <w:pStyle w:val="ListParagraph"/>
              <w:ind w:left="0"/>
              <w:rPr>
                <w:rFonts w:cs="Arial"/>
              </w:rPr>
            </w:pPr>
          </w:p>
          <w:p w:rsidR="00A467BA" w:rsidRPr="00AF66E0" w:rsidRDefault="00A467BA">
            <w:pPr>
              <w:pStyle w:val="ListParagraph"/>
              <w:ind w:left="0"/>
              <w:rPr>
                <w:rFonts w:cs="Arial"/>
              </w:rPr>
            </w:pPr>
          </w:p>
          <w:p w:rsidR="00A467BA" w:rsidRPr="00AF66E0" w:rsidRDefault="00A467BA">
            <w:pPr>
              <w:pStyle w:val="ListParagraph"/>
              <w:ind w:left="0"/>
              <w:rPr>
                <w:rFonts w:cs="Arial"/>
              </w:rPr>
            </w:pPr>
          </w:p>
          <w:p w:rsidR="00A467BA" w:rsidRPr="00AF66E0" w:rsidRDefault="00A467BA">
            <w:pPr>
              <w:pStyle w:val="ListParagraph"/>
              <w:ind w:left="0"/>
              <w:rPr>
                <w:rFonts w:cs="Arial"/>
              </w:rPr>
            </w:pPr>
          </w:p>
          <w:p w:rsidR="00A467BA" w:rsidRPr="00AF66E0" w:rsidRDefault="00A467BA">
            <w:pPr>
              <w:pStyle w:val="ListParagraph"/>
              <w:ind w:left="0"/>
              <w:rPr>
                <w:rFonts w:cs="Arial"/>
              </w:rPr>
            </w:pPr>
          </w:p>
          <w:p w:rsidR="00A467BA" w:rsidRPr="00AF66E0" w:rsidRDefault="00A467BA">
            <w:pPr>
              <w:pStyle w:val="ListParagraph"/>
              <w:ind w:left="0"/>
              <w:rPr>
                <w:rFonts w:cs="Arial"/>
              </w:rPr>
            </w:pPr>
          </w:p>
        </w:tc>
        <w:tc>
          <w:tcPr>
            <w:tcW w:w="1169" w:type="pct"/>
            <w:shd w:val="clear" w:color="auto" w:fill="BFBFBF" w:themeFill="background1" w:themeFillShade="BF"/>
          </w:tcPr>
          <w:p w:rsidR="00A467BA" w:rsidRPr="00AF66E0" w:rsidRDefault="00A467BA">
            <w:pPr>
              <w:rPr>
                <w:rFonts w:cs="Arial"/>
              </w:rPr>
            </w:pPr>
            <w:bookmarkStart w:id="0" w:name="_GoBack"/>
            <w:bookmarkEnd w:id="0"/>
          </w:p>
        </w:tc>
        <w:tc>
          <w:tcPr>
            <w:tcW w:w="1169" w:type="pct"/>
            <w:shd w:val="clear" w:color="auto" w:fill="auto"/>
          </w:tcPr>
          <w:p w:rsidR="00A467BA" w:rsidRPr="007E104D" w:rsidRDefault="007E104D" w:rsidP="007E104D">
            <w:pPr>
              <w:rPr>
                <w:rFonts w:cs="Arial"/>
              </w:rPr>
            </w:pPr>
            <w:r w:rsidRPr="007E104D">
              <w:rPr>
                <w:rFonts w:ascii="Calibri" w:hAnsi="Calibri" w:cs="Calibri"/>
              </w:rPr>
              <w:t xml:space="preserve">Child uses simple strategies to get own needs/wants </w:t>
            </w:r>
            <w:proofErr w:type="gramStart"/>
            <w:r w:rsidRPr="007E104D">
              <w:rPr>
                <w:rFonts w:ascii="Calibri" w:hAnsi="Calibri" w:cs="Calibri"/>
              </w:rPr>
              <w:t>met</w:t>
            </w:r>
            <w:proofErr w:type="gramEnd"/>
            <w:r w:rsidRPr="007E104D">
              <w:rPr>
                <w:rFonts w:ascii="Calibri" w:hAnsi="Calibri" w:cs="Calibri"/>
              </w:rPr>
              <w:t xml:space="preserve"> when interacting with peers, sometimes requiring adult guidance to resolve conflicts.</w:t>
            </w:r>
          </w:p>
        </w:tc>
      </w:tr>
    </w:tbl>
    <w:p w:rsidR="00C257FE" w:rsidRDefault="00C257FE">
      <w:pPr>
        <w:spacing w:after="0" w:line="240" w:lineRule="auto"/>
        <w:rPr>
          <w:rFonts w:cs="Arial"/>
          <w:b/>
          <w:bCs/>
        </w:rPr>
      </w:pPr>
    </w:p>
    <w:p w:rsidR="00C257FE" w:rsidRDefault="00C257FE">
      <w:pPr>
        <w:spacing w:after="0" w:line="240" w:lineRule="auto"/>
        <w:rPr>
          <w:rFonts w:cs="Arial"/>
          <w:b/>
          <w:bCs/>
        </w:rPr>
      </w:pPr>
    </w:p>
    <w:p w:rsidR="00C257FE" w:rsidRDefault="00770164">
      <w:pPr>
        <w:spacing w:after="0" w:line="240" w:lineRule="auto"/>
        <w:rPr>
          <w:rFonts w:cs="Arial"/>
          <w:b/>
          <w:bCs/>
        </w:rPr>
      </w:pPr>
      <w:r w:rsidRPr="00770164">
        <w:rPr>
          <w:rFonts w:cs="Arial"/>
          <w:b/>
          <w:bCs/>
        </w:rPr>
        <w:br w:type="page"/>
      </w:r>
    </w:p>
    <w:p w:rsidR="00C257FE" w:rsidRDefault="00770164">
      <w:pPr>
        <w:spacing w:after="0" w:line="240" w:lineRule="auto"/>
        <w:rPr>
          <w:rFonts w:cs="Frutiger-BoldCn"/>
          <w:bCs/>
          <w:color w:val="000000"/>
        </w:rPr>
      </w:pPr>
      <w:r w:rsidRPr="00770164">
        <w:rPr>
          <w:rFonts w:cs="Frutiger-BoldCn"/>
          <w:b/>
          <w:bCs/>
          <w:color w:val="000000"/>
          <w:sz w:val="24"/>
        </w:rPr>
        <w:lastRenderedPageBreak/>
        <w:t>Observational Rubric:</w:t>
      </w:r>
      <w:r w:rsidRPr="00770164">
        <w:rPr>
          <w:rFonts w:cs="Frutiger-BoldCn"/>
          <w:bCs/>
          <w:color w:val="000000"/>
          <w:sz w:val="24"/>
        </w:rPr>
        <w:t xml:space="preserve"> </w:t>
      </w:r>
      <w:r w:rsidR="00A467BA" w:rsidRPr="00AF66E0">
        <w:rPr>
          <w:rFonts w:cs="Frutiger-BoldCn"/>
          <w:bCs/>
          <w:color w:val="000000"/>
        </w:rPr>
        <w:t>Conflict Resolution Strategies</w:t>
      </w:r>
    </w:p>
    <w:tbl>
      <w:tblPr>
        <w:tblStyle w:val="TableGrid"/>
        <w:tblW w:w="13176" w:type="dxa"/>
        <w:tblLayout w:type="fixed"/>
        <w:tblLook w:val="04A0"/>
      </w:tblPr>
      <w:tblGrid>
        <w:gridCol w:w="1998"/>
        <w:gridCol w:w="1890"/>
        <w:gridCol w:w="4140"/>
        <w:gridCol w:w="5148"/>
      </w:tblGrid>
      <w:tr w:rsidR="00A467BA" w:rsidRPr="00AF66E0" w:rsidTr="0039008F">
        <w:trPr>
          <w:trHeight w:val="516"/>
          <w:tblHeader/>
        </w:trPr>
        <w:tc>
          <w:tcPr>
            <w:tcW w:w="1998" w:type="dxa"/>
            <w:vAlign w:val="center"/>
          </w:tcPr>
          <w:p w:rsidR="00C257FE" w:rsidRDefault="00A467BA">
            <w:pPr>
              <w:autoSpaceDE w:val="0"/>
              <w:autoSpaceDN w:val="0"/>
              <w:adjustRightInd w:val="0"/>
              <w:jc w:val="center"/>
              <w:rPr>
                <w:rFonts w:cs="Frutiger-BoldCn"/>
                <w:b/>
                <w:bCs/>
              </w:rPr>
            </w:pPr>
            <w:r w:rsidRPr="00AF66E0">
              <w:rPr>
                <w:rFonts w:cs="Frutiger-BoldCn"/>
                <w:b/>
                <w:bCs/>
              </w:rPr>
              <w:t>Directions</w:t>
            </w:r>
          </w:p>
        </w:tc>
        <w:tc>
          <w:tcPr>
            <w:tcW w:w="1890" w:type="dxa"/>
            <w:vAlign w:val="center"/>
          </w:tcPr>
          <w:p w:rsidR="00C257FE" w:rsidRDefault="00A467BA">
            <w:pPr>
              <w:autoSpaceDE w:val="0"/>
              <w:autoSpaceDN w:val="0"/>
              <w:adjustRightInd w:val="0"/>
              <w:jc w:val="center"/>
              <w:rPr>
                <w:rFonts w:cs="Frutiger-BoldCn"/>
                <w:b/>
                <w:bCs/>
              </w:rPr>
            </w:pPr>
            <w:r w:rsidRPr="00AF66E0">
              <w:rPr>
                <w:rFonts w:cs="Frutiger-BoldCn"/>
                <w:b/>
                <w:bCs/>
              </w:rPr>
              <w:t>Level</w:t>
            </w:r>
          </w:p>
        </w:tc>
        <w:tc>
          <w:tcPr>
            <w:tcW w:w="4140" w:type="dxa"/>
            <w:vAlign w:val="center"/>
          </w:tcPr>
          <w:p w:rsidR="00C257FE" w:rsidRDefault="00A467BA">
            <w:pPr>
              <w:autoSpaceDE w:val="0"/>
              <w:autoSpaceDN w:val="0"/>
              <w:adjustRightInd w:val="0"/>
              <w:jc w:val="center"/>
              <w:rPr>
                <w:rFonts w:cs="Frutiger-BoldCn"/>
                <w:b/>
                <w:bCs/>
              </w:rPr>
            </w:pPr>
            <w:r w:rsidRPr="00AF66E0">
              <w:rPr>
                <w:rFonts w:cs="Frutiger-BoldCn"/>
                <w:b/>
                <w:bCs/>
              </w:rPr>
              <w:t>Rubric</w:t>
            </w:r>
          </w:p>
        </w:tc>
        <w:tc>
          <w:tcPr>
            <w:tcW w:w="5148" w:type="dxa"/>
            <w:vAlign w:val="center"/>
          </w:tcPr>
          <w:p w:rsidR="00C257FE" w:rsidRDefault="00A467BA">
            <w:pPr>
              <w:autoSpaceDE w:val="0"/>
              <w:autoSpaceDN w:val="0"/>
              <w:adjustRightInd w:val="0"/>
              <w:jc w:val="center"/>
              <w:rPr>
                <w:rFonts w:cs="Frutiger-BoldCn"/>
                <w:b/>
                <w:bCs/>
              </w:rPr>
            </w:pPr>
            <w:r w:rsidRPr="00AF66E0">
              <w:rPr>
                <w:rFonts w:cs="Frutiger-BoldCn"/>
                <w:b/>
                <w:bCs/>
              </w:rPr>
              <w:t>Evidence Examples</w:t>
            </w:r>
          </w:p>
        </w:tc>
      </w:tr>
      <w:tr w:rsidR="00FF5E02" w:rsidRPr="00AF66E0" w:rsidTr="0039008F">
        <w:tc>
          <w:tcPr>
            <w:tcW w:w="1998" w:type="dxa"/>
            <w:vMerge w:val="restart"/>
          </w:tcPr>
          <w:p w:rsidR="00FF5E02" w:rsidRPr="00AF66E0" w:rsidRDefault="00824B28" w:rsidP="0039008F">
            <w:pPr>
              <w:pStyle w:val="TableGrid1"/>
              <w:rPr>
                <w:rFonts w:asciiTheme="minorHAnsi" w:hAnsiTheme="minorHAnsi"/>
                <w:szCs w:val="22"/>
              </w:rPr>
            </w:pPr>
            <w:r w:rsidRPr="002C2ACC">
              <w:rPr>
                <w:rFonts w:asciiTheme="minorHAnsi" w:hAnsiTheme="minorHAnsi"/>
              </w:rPr>
              <w:t>(</w:t>
            </w:r>
            <w:r>
              <w:rPr>
                <w:rFonts w:asciiTheme="minorHAnsi" w:hAnsiTheme="minorHAnsi"/>
              </w:rPr>
              <w:t>Same as Levels 1-5</w:t>
            </w:r>
            <w:r w:rsidRPr="002C2ACC">
              <w:rPr>
                <w:rFonts w:asciiTheme="minorHAnsi" w:hAnsiTheme="minorHAnsi"/>
              </w:rPr>
              <w:t>)</w:t>
            </w:r>
          </w:p>
        </w:tc>
        <w:tc>
          <w:tcPr>
            <w:tcW w:w="1890" w:type="dxa"/>
            <w:vAlign w:val="center"/>
          </w:tcPr>
          <w:p w:rsidR="00FF5E02" w:rsidRPr="00AF66E0" w:rsidRDefault="00BE4750">
            <w:pPr>
              <w:autoSpaceDE w:val="0"/>
              <w:autoSpaceDN w:val="0"/>
              <w:adjustRightInd w:val="0"/>
              <w:jc w:val="center"/>
              <w:rPr>
                <w:rFonts w:cs="Frutiger-BoldCn"/>
                <w:b/>
                <w:bCs/>
              </w:rPr>
            </w:pPr>
            <w:r>
              <w:rPr>
                <w:rFonts w:cs="Frutiger-BoldCn"/>
                <w:b/>
                <w:bCs/>
              </w:rPr>
              <w:t>A</w:t>
            </w:r>
          </w:p>
        </w:tc>
        <w:tc>
          <w:tcPr>
            <w:tcW w:w="4140" w:type="dxa"/>
          </w:tcPr>
          <w:p w:rsidR="00FF5E02" w:rsidRPr="00AF66E0" w:rsidRDefault="00BE4750">
            <w:pPr>
              <w:pStyle w:val="TableGrid1"/>
              <w:rPr>
                <w:rFonts w:asciiTheme="minorHAnsi" w:hAnsiTheme="minorHAnsi"/>
                <w:szCs w:val="22"/>
              </w:rPr>
            </w:pPr>
            <w:r>
              <w:rPr>
                <w:rFonts w:asciiTheme="minorHAnsi" w:hAnsiTheme="minorHAnsi"/>
                <w:szCs w:val="22"/>
              </w:rPr>
              <w:t>Child attends to other people.</w:t>
            </w:r>
          </w:p>
        </w:tc>
        <w:tc>
          <w:tcPr>
            <w:tcW w:w="5148" w:type="dxa"/>
          </w:tcPr>
          <w:p w:rsidR="00FF5E02" w:rsidRPr="00AF66E0" w:rsidRDefault="008F4AD2" w:rsidP="008F4AD2">
            <w:pPr>
              <w:pStyle w:val="TableGrid1"/>
              <w:rPr>
                <w:rFonts w:asciiTheme="minorHAnsi" w:hAnsiTheme="minorHAnsi"/>
                <w:szCs w:val="22"/>
              </w:rPr>
            </w:pPr>
            <w:r>
              <w:rPr>
                <w:rFonts w:asciiTheme="minorHAnsi" w:hAnsiTheme="minorHAnsi"/>
                <w:b/>
                <w:szCs w:val="22"/>
              </w:rPr>
              <w:t>Rub</w:t>
            </w:r>
            <w:r w:rsidRPr="00AF66E0">
              <w:rPr>
                <w:rFonts w:asciiTheme="minorHAnsi" w:hAnsiTheme="minorHAnsi"/>
                <w:b/>
                <w:szCs w:val="22"/>
              </w:rPr>
              <w:t>y</w:t>
            </w:r>
            <w:r w:rsidRPr="00770164">
              <w:rPr>
                <w:rFonts w:asciiTheme="minorHAnsi" w:hAnsiTheme="minorHAnsi"/>
                <w:szCs w:val="22"/>
              </w:rPr>
              <w:t>—</w:t>
            </w:r>
            <w:r>
              <w:rPr>
                <w:rFonts w:asciiTheme="minorHAnsi" w:hAnsiTheme="minorHAnsi"/>
                <w:szCs w:val="22"/>
              </w:rPr>
              <w:t>Ruby</w:t>
            </w:r>
            <w:r w:rsidR="00BE4750">
              <w:rPr>
                <w:rFonts w:asciiTheme="minorHAnsi" w:hAnsiTheme="minorHAnsi"/>
                <w:szCs w:val="22"/>
              </w:rPr>
              <w:t xml:space="preserve"> looks at another child.</w:t>
            </w:r>
          </w:p>
        </w:tc>
      </w:tr>
      <w:tr w:rsidR="00BE4750" w:rsidRPr="00AF66E0" w:rsidTr="0039008F">
        <w:tc>
          <w:tcPr>
            <w:tcW w:w="1998" w:type="dxa"/>
            <w:vMerge/>
          </w:tcPr>
          <w:p w:rsidR="00BE4750" w:rsidRPr="00770164" w:rsidRDefault="00BE4750">
            <w:pPr>
              <w:pStyle w:val="TableGrid1"/>
              <w:rPr>
                <w:rFonts w:asciiTheme="minorHAnsi" w:hAnsiTheme="minorHAnsi"/>
                <w:szCs w:val="22"/>
              </w:rPr>
            </w:pPr>
          </w:p>
        </w:tc>
        <w:tc>
          <w:tcPr>
            <w:tcW w:w="1890" w:type="dxa"/>
            <w:vAlign w:val="center"/>
          </w:tcPr>
          <w:p w:rsidR="00BE4750" w:rsidRPr="00AF66E0" w:rsidRDefault="00BE4750" w:rsidP="00C00C9D">
            <w:pPr>
              <w:autoSpaceDE w:val="0"/>
              <w:autoSpaceDN w:val="0"/>
              <w:adjustRightInd w:val="0"/>
              <w:jc w:val="center"/>
              <w:rPr>
                <w:rFonts w:cs="Frutiger-BoldCn"/>
                <w:b/>
                <w:bCs/>
              </w:rPr>
            </w:pPr>
            <w:r w:rsidRPr="00AF66E0">
              <w:rPr>
                <w:rFonts w:cs="Frutiger-BoldCn"/>
                <w:b/>
                <w:bCs/>
              </w:rPr>
              <w:t>B</w:t>
            </w:r>
          </w:p>
        </w:tc>
        <w:tc>
          <w:tcPr>
            <w:tcW w:w="4140" w:type="dxa"/>
          </w:tcPr>
          <w:p w:rsidR="00BE4750" w:rsidRPr="00AF66E0" w:rsidRDefault="00BE4750" w:rsidP="00C00C9D">
            <w:pPr>
              <w:pStyle w:val="ListParagraph"/>
              <w:ind w:left="0"/>
              <w:rPr>
                <w:rFonts w:cs="Arial"/>
              </w:rPr>
            </w:pPr>
            <w:r w:rsidRPr="00AF66E0">
              <w:rPr>
                <w:rFonts w:cs="Arial"/>
              </w:rPr>
              <w:t>Child shows interest in peers and takes objects from them; requires redirection from adult.</w:t>
            </w:r>
          </w:p>
          <w:p w:rsidR="00BE4750" w:rsidRPr="00AF66E0" w:rsidRDefault="00BE4750" w:rsidP="00C00C9D">
            <w:pPr>
              <w:pStyle w:val="TableGrid1"/>
              <w:rPr>
                <w:rFonts w:asciiTheme="minorHAnsi" w:hAnsiTheme="minorHAnsi"/>
                <w:szCs w:val="22"/>
              </w:rPr>
            </w:pPr>
          </w:p>
        </w:tc>
        <w:tc>
          <w:tcPr>
            <w:tcW w:w="5148" w:type="dxa"/>
          </w:tcPr>
          <w:p w:rsidR="00BE4750" w:rsidRPr="00AF66E0" w:rsidRDefault="00BE4750" w:rsidP="00C00C9D">
            <w:pPr>
              <w:pStyle w:val="TableGrid1"/>
              <w:rPr>
                <w:rFonts w:asciiTheme="minorHAnsi" w:hAnsiTheme="minorHAnsi"/>
                <w:szCs w:val="22"/>
              </w:rPr>
            </w:pPr>
            <w:r w:rsidRPr="00AF66E0">
              <w:rPr>
                <w:rFonts w:asciiTheme="minorHAnsi" w:hAnsiTheme="minorHAnsi"/>
                <w:b/>
                <w:szCs w:val="22"/>
              </w:rPr>
              <w:t>Toby</w:t>
            </w:r>
            <w:r w:rsidRPr="00770164">
              <w:rPr>
                <w:rFonts w:asciiTheme="minorHAnsi" w:hAnsiTheme="minorHAnsi"/>
                <w:szCs w:val="22"/>
              </w:rPr>
              <w:t>—</w:t>
            </w:r>
            <w:r w:rsidRPr="00AF66E0">
              <w:rPr>
                <w:rFonts w:asciiTheme="minorHAnsi" w:hAnsiTheme="minorHAnsi"/>
                <w:szCs w:val="22"/>
              </w:rPr>
              <w:t>Toby and Caitlyn were sitting next to each other in the book area. Caitlyn was holding a book, and Toby reached over and grabbed it. I offered Toby an alternative book, and he let go of the one that Caitlyn was looking at.</w:t>
            </w:r>
          </w:p>
        </w:tc>
      </w:tr>
      <w:tr w:rsidR="00BE4750" w:rsidRPr="00AF66E0" w:rsidTr="0039008F">
        <w:trPr>
          <w:trHeight w:val="890"/>
        </w:trPr>
        <w:tc>
          <w:tcPr>
            <w:tcW w:w="1998" w:type="dxa"/>
            <w:vMerge/>
          </w:tcPr>
          <w:p w:rsidR="00BE4750" w:rsidRPr="00AF66E0" w:rsidRDefault="00BE4750">
            <w:pPr>
              <w:pStyle w:val="TableGrid1"/>
              <w:numPr>
                <w:ilvl w:val="0"/>
                <w:numId w:val="1"/>
              </w:numPr>
              <w:rPr>
                <w:rFonts w:asciiTheme="minorHAnsi" w:hAnsiTheme="minorHAnsi"/>
                <w:szCs w:val="22"/>
              </w:rPr>
            </w:pPr>
          </w:p>
        </w:tc>
        <w:tc>
          <w:tcPr>
            <w:tcW w:w="1890" w:type="dxa"/>
            <w:shd w:val="clear" w:color="auto" w:fill="auto"/>
            <w:vAlign w:val="center"/>
          </w:tcPr>
          <w:p w:rsidR="00BE4750" w:rsidRPr="00AF66E0" w:rsidRDefault="0039008F">
            <w:pPr>
              <w:autoSpaceDE w:val="0"/>
              <w:autoSpaceDN w:val="0"/>
              <w:adjustRightInd w:val="0"/>
              <w:jc w:val="center"/>
              <w:rPr>
                <w:rFonts w:cs="Frutiger-BoldCn"/>
                <w:b/>
                <w:bCs/>
              </w:rPr>
            </w:pPr>
            <w:r w:rsidRPr="00740B5A">
              <w:rPr>
                <w:rFonts w:cs="Frutiger-BoldCn"/>
                <w:b/>
                <w:bCs/>
                <w:color w:val="000000"/>
              </w:rPr>
              <w:t>Adaptations</w:t>
            </w:r>
            <w:r>
              <w:rPr>
                <w:rFonts w:cs="Frutiger-BoldCn"/>
                <w:b/>
                <w:bCs/>
                <w:color w:val="000000"/>
              </w:rPr>
              <w:t>: Evidence Examples</w:t>
            </w:r>
          </w:p>
        </w:tc>
        <w:tc>
          <w:tcPr>
            <w:tcW w:w="4140" w:type="dxa"/>
          </w:tcPr>
          <w:p w:rsidR="00BE4750" w:rsidRDefault="00BE4750">
            <w:pPr>
              <w:pStyle w:val="ColorfulList-Accent11"/>
              <w:ind w:left="0"/>
              <w:rPr>
                <w:rFonts w:asciiTheme="minorHAnsi" w:hAnsiTheme="minorHAnsi"/>
                <w:b/>
              </w:rPr>
            </w:pPr>
            <w:r w:rsidRPr="00AF66E0">
              <w:rPr>
                <w:rFonts w:asciiTheme="minorHAnsi" w:hAnsiTheme="minorHAnsi"/>
                <w:b/>
              </w:rPr>
              <w:t>Vision</w:t>
            </w:r>
            <w:r w:rsidR="00692D90">
              <w:rPr>
                <w:rFonts w:asciiTheme="minorHAnsi" w:hAnsiTheme="minorHAnsi"/>
                <w:b/>
              </w:rPr>
              <w:t>:</w:t>
            </w:r>
          </w:p>
          <w:p w:rsidR="005F276C" w:rsidRDefault="005F276C">
            <w:pPr>
              <w:pStyle w:val="ColorfulList-Accent11"/>
              <w:ind w:left="0"/>
              <w:rPr>
                <w:rFonts w:asciiTheme="minorHAnsi" w:hAnsiTheme="minorHAnsi"/>
                <w:b/>
              </w:rPr>
            </w:pPr>
          </w:p>
          <w:p w:rsidR="005F276C" w:rsidRDefault="005F276C">
            <w:pPr>
              <w:pStyle w:val="ColorfulList-Accent11"/>
              <w:ind w:left="0"/>
              <w:rPr>
                <w:rFonts w:asciiTheme="minorHAnsi" w:hAnsiTheme="minorHAnsi"/>
                <w:b/>
              </w:rPr>
            </w:pPr>
          </w:p>
          <w:p w:rsidR="005F276C" w:rsidRDefault="005F276C">
            <w:pPr>
              <w:pStyle w:val="ColorfulList-Accent11"/>
              <w:ind w:left="0"/>
              <w:rPr>
                <w:rFonts w:asciiTheme="minorHAnsi" w:hAnsiTheme="minorHAnsi"/>
                <w:b/>
              </w:rPr>
            </w:pPr>
          </w:p>
          <w:p w:rsidR="005F276C" w:rsidRDefault="005F276C">
            <w:pPr>
              <w:pStyle w:val="ColorfulList-Accent11"/>
              <w:ind w:left="0"/>
              <w:rPr>
                <w:rFonts w:asciiTheme="minorHAnsi" w:hAnsiTheme="minorHAnsi"/>
                <w:b/>
              </w:rPr>
            </w:pPr>
          </w:p>
          <w:p w:rsidR="005F276C" w:rsidRPr="00AF66E0" w:rsidRDefault="005F276C">
            <w:pPr>
              <w:pStyle w:val="ColorfulList-Accent11"/>
              <w:ind w:left="0"/>
              <w:rPr>
                <w:rFonts w:asciiTheme="minorHAnsi" w:hAnsiTheme="minorHAnsi"/>
              </w:rPr>
            </w:pPr>
          </w:p>
          <w:p w:rsidR="00BE4750" w:rsidRPr="00AF66E0" w:rsidRDefault="00BE4750">
            <w:pPr>
              <w:pStyle w:val="ColorfulList-Accent11"/>
              <w:ind w:left="0"/>
              <w:rPr>
                <w:rFonts w:asciiTheme="minorHAnsi" w:hAnsiTheme="minorHAnsi"/>
              </w:rPr>
            </w:pPr>
          </w:p>
          <w:p w:rsidR="00BE4750" w:rsidRDefault="00BE4750">
            <w:pPr>
              <w:pStyle w:val="ColorfulList-Accent11"/>
              <w:spacing w:after="200" w:line="276" w:lineRule="auto"/>
              <w:ind w:left="0"/>
              <w:rPr>
                <w:rFonts w:asciiTheme="minorHAnsi" w:hAnsiTheme="minorHAnsi"/>
                <w:b/>
              </w:rPr>
            </w:pPr>
            <w:r w:rsidRPr="00AF66E0">
              <w:rPr>
                <w:rFonts w:asciiTheme="minorHAnsi" w:hAnsiTheme="minorHAnsi"/>
                <w:b/>
              </w:rPr>
              <w:t>Hearing</w:t>
            </w:r>
            <w:r w:rsidR="00692D90">
              <w:rPr>
                <w:rFonts w:asciiTheme="minorHAnsi" w:hAnsiTheme="minorHAnsi"/>
                <w:b/>
              </w:rPr>
              <w:t>:</w:t>
            </w:r>
          </w:p>
          <w:p w:rsidR="005F276C" w:rsidRDefault="005F276C">
            <w:pPr>
              <w:pStyle w:val="ColorfulList-Accent11"/>
              <w:spacing w:after="200" w:line="276" w:lineRule="auto"/>
              <w:ind w:left="0"/>
              <w:rPr>
                <w:rFonts w:asciiTheme="minorHAnsi" w:hAnsiTheme="minorHAnsi"/>
                <w:b/>
              </w:rPr>
            </w:pPr>
          </w:p>
          <w:p w:rsidR="005F276C" w:rsidRDefault="005F276C">
            <w:pPr>
              <w:pStyle w:val="ColorfulList-Accent11"/>
              <w:spacing w:after="200" w:line="276" w:lineRule="auto"/>
              <w:ind w:left="0"/>
              <w:rPr>
                <w:rFonts w:asciiTheme="minorHAnsi" w:hAnsiTheme="minorHAnsi"/>
                <w:b/>
              </w:rPr>
            </w:pPr>
          </w:p>
          <w:p w:rsidR="00BE4750" w:rsidRPr="00AF66E0" w:rsidRDefault="00BE4750" w:rsidP="005F276C">
            <w:pPr>
              <w:pStyle w:val="ColorfulList-Accent11"/>
              <w:ind w:left="0"/>
              <w:rPr>
                <w:rFonts w:asciiTheme="minorHAnsi" w:hAnsiTheme="minorHAnsi" w:cs="Arial"/>
              </w:rPr>
            </w:pPr>
          </w:p>
        </w:tc>
        <w:tc>
          <w:tcPr>
            <w:tcW w:w="5148" w:type="dxa"/>
          </w:tcPr>
          <w:p w:rsidR="00BE4750" w:rsidRPr="00AF66E0" w:rsidRDefault="00BE4750">
            <w:pPr>
              <w:pStyle w:val="TableGrid1"/>
              <w:rPr>
                <w:rFonts w:asciiTheme="minorHAnsi" w:hAnsiTheme="minorHAnsi"/>
                <w:szCs w:val="22"/>
              </w:rPr>
            </w:pPr>
            <w:proofErr w:type="spellStart"/>
            <w:r w:rsidRPr="00AF66E0">
              <w:rPr>
                <w:rFonts w:asciiTheme="minorHAnsi" w:hAnsiTheme="minorHAnsi"/>
                <w:b/>
                <w:szCs w:val="22"/>
              </w:rPr>
              <w:t>Caryl</w:t>
            </w:r>
            <w:r w:rsidRPr="00AF66E0">
              <w:rPr>
                <w:rFonts w:asciiTheme="minorHAnsi" w:hAnsiTheme="minorHAnsi"/>
                <w:szCs w:val="22"/>
              </w:rPr>
              <w:t>—Caryl</w:t>
            </w:r>
            <w:proofErr w:type="spellEnd"/>
            <w:r w:rsidRPr="00AF66E0">
              <w:rPr>
                <w:rFonts w:asciiTheme="minorHAnsi" w:hAnsiTheme="minorHAnsi"/>
                <w:szCs w:val="22"/>
              </w:rPr>
              <w:t xml:space="preserve"> wa</w:t>
            </w:r>
            <w:r w:rsidR="002E42AE">
              <w:rPr>
                <w:rFonts w:asciiTheme="minorHAnsi" w:hAnsiTheme="minorHAnsi"/>
                <w:szCs w:val="22"/>
              </w:rPr>
              <w:t>s sitting with me and next to Bri</w:t>
            </w:r>
            <w:r w:rsidRPr="00AF66E0">
              <w:rPr>
                <w:rFonts w:asciiTheme="minorHAnsi" w:hAnsiTheme="minorHAnsi"/>
                <w:szCs w:val="22"/>
              </w:rPr>
              <w:t>an in the manipulative area today. When she heard the sound coming from his musical ball, she turned toward him, reached over, and tried to take the ball. I was able to offer a similar sound toy to he</w:t>
            </w:r>
            <w:r w:rsidR="002E42AE">
              <w:rPr>
                <w:rFonts w:asciiTheme="minorHAnsi" w:hAnsiTheme="minorHAnsi"/>
                <w:szCs w:val="22"/>
              </w:rPr>
              <w:t>r and said, “Bri</w:t>
            </w:r>
            <w:r w:rsidR="005F276C">
              <w:rPr>
                <w:rFonts w:asciiTheme="minorHAnsi" w:hAnsiTheme="minorHAnsi"/>
                <w:szCs w:val="22"/>
              </w:rPr>
              <w:t>an is playing with that ball.</w:t>
            </w:r>
            <w:r w:rsidRPr="00AF66E0">
              <w:rPr>
                <w:rFonts w:asciiTheme="minorHAnsi" w:hAnsiTheme="minorHAnsi"/>
                <w:szCs w:val="22"/>
              </w:rPr>
              <w:t xml:space="preserve"> Here is a ball for you!”</w:t>
            </w:r>
          </w:p>
          <w:p w:rsidR="00BE4750" w:rsidRPr="00AF66E0" w:rsidRDefault="00BE4750">
            <w:pPr>
              <w:pStyle w:val="TableGrid1"/>
              <w:rPr>
                <w:rFonts w:asciiTheme="minorHAnsi" w:hAnsiTheme="minorHAnsi"/>
                <w:szCs w:val="22"/>
              </w:rPr>
            </w:pPr>
          </w:p>
          <w:p w:rsidR="00BE4750" w:rsidRPr="00AF66E0" w:rsidRDefault="00BE4750">
            <w:pPr>
              <w:pStyle w:val="TableGrid1"/>
              <w:rPr>
                <w:rFonts w:asciiTheme="minorHAnsi" w:hAnsiTheme="minorHAnsi"/>
                <w:szCs w:val="22"/>
              </w:rPr>
            </w:pPr>
            <w:r w:rsidRPr="00AF66E0">
              <w:rPr>
                <w:rFonts w:asciiTheme="minorHAnsi" w:hAnsiTheme="minorHAnsi"/>
                <w:b/>
                <w:szCs w:val="22"/>
              </w:rPr>
              <w:t>Brant</w:t>
            </w:r>
            <w:r w:rsidRPr="00AF66E0">
              <w:rPr>
                <w:rFonts w:asciiTheme="minorHAnsi" w:hAnsiTheme="minorHAnsi"/>
                <w:szCs w:val="22"/>
              </w:rPr>
              <w:t xml:space="preserve">—Brant was watching Micah playing with a toy that lights up when you move it. He reached and took the toy out of Micah’s hands. I was able to get his attention and sign to him that Micah was playing with the toy. I offered </w:t>
            </w:r>
            <w:r w:rsidR="005F276C">
              <w:rPr>
                <w:rFonts w:asciiTheme="minorHAnsi" w:hAnsiTheme="minorHAnsi"/>
                <w:szCs w:val="22"/>
              </w:rPr>
              <w:t>him another toy.</w:t>
            </w:r>
          </w:p>
          <w:p w:rsidR="00BE4750" w:rsidRPr="00AF66E0" w:rsidRDefault="00BE4750">
            <w:pPr>
              <w:pStyle w:val="TableGrid1"/>
              <w:rPr>
                <w:rFonts w:asciiTheme="minorHAnsi" w:hAnsiTheme="minorHAnsi"/>
                <w:b/>
                <w:szCs w:val="22"/>
              </w:rPr>
            </w:pPr>
          </w:p>
          <w:p w:rsidR="00BE4750" w:rsidRPr="00AF66E0" w:rsidRDefault="00BE4750" w:rsidP="005F276C">
            <w:pPr>
              <w:pStyle w:val="TableGrid1"/>
              <w:rPr>
                <w:rFonts w:asciiTheme="minorHAnsi" w:hAnsiTheme="minorHAnsi"/>
                <w:szCs w:val="22"/>
              </w:rPr>
            </w:pPr>
          </w:p>
        </w:tc>
      </w:tr>
      <w:tr w:rsidR="00BE4750" w:rsidRPr="00AF66E0" w:rsidTr="0039008F">
        <w:trPr>
          <w:trHeight w:val="827"/>
        </w:trPr>
        <w:tc>
          <w:tcPr>
            <w:tcW w:w="1998" w:type="dxa"/>
            <w:vMerge/>
          </w:tcPr>
          <w:p w:rsidR="00BE4750" w:rsidRDefault="00BE4750">
            <w:pPr>
              <w:autoSpaceDE w:val="0"/>
              <w:autoSpaceDN w:val="0"/>
              <w:adjustRightInd w:val="0"/>
              <w:rPr>
                <w:rFonts w:cs="Frutiger-BoldCn"/>
                <w:b/>
                <w:bCs/>
              </w:rPr>
            </w:pPr>
          </w:p>
        </w:tc>
        <w:tc>
          <w:tcPr>
            <w:tcW w:w="1890" w:type="dxa"/>
            <w:vAlign w:val="center"/>
          </w:tcPr>
          <w:p w:rsidR="00BE4750" w:rsidRDefault="00BE4750">
            <w:pPr>
              <w:autoSpaceDE w:val="0"/>
              <w:autoSpaceDN w:val="0"/>
              <w:adjustRightInd w:val="0"/>
              <w:jc w:val="center"/>
              <w:rPr>
                <w:rFonts w:cs="Frutiger-BoldCn"/>
                <w:bCs/>
              </w:rPr>
            </w:pPr>
            <w:r w:rsidRPr="00AF66E0">
              <w:rPr>
                <w:rFonts w:cs="Frutiger-BoldCn"/>
                <w:b/>
                <w:bCs/>
              </w:rPr>
              <w:t>D</w:t>
            </w:r>
          </w:p>
        </w:tc>
        <w:tc>
          <w:tcPr>
            <w:tcW w:w="4140" w:type="dxa"/>
          </w:tcPr>
          <w:p w:rsidR="007E104D" w:rsidRPr="007E104D" w:rsidRDefault="007E104D">
            <w:pPr>
              <w:rPr>
                <w:rFonts w:cs="Arial"/>
              </w:rPr>
            </w:pPr>
            <w:r w:rsidRPr="007E104D">
              <w:rPr>
                <w:rFonts w:cs="Calibri"/>
              </w:rPr>
              <w:t xml:space="preserve">Child uses simple strategies to get own needs/wants </w:t>
            </w:r>
            <w:proofErr w:type="gramStart"/>
            <w:r w:rsidRPr="007E104D">
              <w:rPr>
                <w:rFonts w:cs="Calibri"/>
              </w:rPr>
              <w:t>met</w:t>
            </w:r>
            <w:proofErr w:type="gramEnd"/>
            <w:r w:rsidRPr="007E104D">
              <w:rPr>
                <w:rFonts w:cs="Calibri"/>
              </w:rPr>
              <w:t xml:space="preserve"> when interacting with peers, sometimes requiring adult guidance to resolve conflicts.</w:t>
            </w:r>
          </w:p>
        </w:tc>
        <w:tc>
          <w:tcPr>
            <w:tcW w:w="5148" w:type="dxa"/>
          </w:tcPr>
          <w:p w:rsidR="00BE4750" w:rsidRPr="00AF66E0" w:rsidRDefault="00BE4750">
            <w:pPr>
              <w:pStyle w:val="TableGrid1"/>
              <w:rPr>
                <w:rFonts w:asciiTheme="minorHAnsi" w:hAnsiTheme="minorHAnsi"/>
                <w:szCs w:val="22"/>
              </w:rPr>
            </w:pPr>
            <w:r w:rsidRPr="00AF66E0">
              <w:rPr>
                <w:rFonts w:asciiTheme="minorHAnsi" w:hAnsiTheme="minorHAnsi"/>
                <w:b/>
                <w:szCs w:val="22"/>
              </w:rPr>
              <w:t>Maggie</w:t>
            </w:r>
            <w:r w:rsidRPr="00AF66E0">
              <w:rPr>
                <w:rFonts w:asciiTheme="minorHAnsi" w:hAnsiTheme="minorHAnsi"/>
                <w:szCs w:val="22"/>
              </w:rPr>
              <w:t>—Maggie grabbed the truck out of Parker’s hands and said, “Mine” and began rolling it on the floor near Parker. Parker began to cry and reached for the truck. I knelt down by Maggie and Parker, placing a hand on each of their backs, and said, “Parker was playing with the truck. He’s sad that you took it from him.” Maggie held the truck closely to her chest and looked away from us, but put it down after I said, “Maggie, let’s go find another truck for you to play with.”</w:t>
            </w:r>
          </w:p>
        </w:tc>
      </w:tr>
    </w:tbl>
    <w:p w:rsidR="00C257FE" w:rsidRDefault="00C257FE">
      <w:pPr>
        <w:spacing w:after="0" w:line="240" w:lineRule="auto"/>
        <w:rPr>
          <w:rFonts w:cs="Frutiger-BoldCn"/>
          <w:b/>
          <w:bCs/>
          <w:color w:val="000000"/>
        </w:rPr>
      </w:pPr>
    </w:p>
    <w:p w:rsidR="00840F02" w:rsidRDefault="00840F02">
      <w:pPr>
        <w:spacing w:after="0" w:line="240" w:lineRule="auto"/>
        <w:rPr>
          <w:sz w:val="2"/>
          <w:szCs w:val="2"/>
        </w:rPr>
      </w:pPr>
    </w:p>
    <w:sectPr w:rsidR="00840F02" w:rsidSect="00104B4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DC" w:rsidRDefault="008775DC" w:rsidP="008B2C43">
      <w:pPr>
        <w:spacing w:after="0" w:line="240" w:lineRule="auto"/>
      </w:pPr>
      <w:r>
        <w:separator/>
      </w:r>
    </w:p>
  </w:endnote>
  <w:endnote w:type="continuationSeparator" w:id="0">
    <w:p w:rsidR="008775DC" w:rsidRDefault="008775DC" w:rsidP="008B2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E4" w:rsidRDefault="00816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6E" w:rsidRPr="00481B6E" w:rsidRDefault="00712D7B">
    <w:pPr>
      <w:pStyle w:val="Footer"/>
      <w:rPr>
        <w:b/>
      </w:rPr>
    </w:pPr>
    <w:r>
      <w:rPr>
        <w:b/>
      </w:rPr>
      <w:t xml:space="preserve">Social Foundations: </w:t>
    </w:r>
    <w:r w:rsidRPr="00CB37EA">
      <w:rPr>
        <w:b/>
      </w:rPr>
      <w:t>Conflict Resolution Learning Progression</w:t>
    </w:r>
    <w:r w:rsidRPr="00712D7B">
      <w:rPr>
        <w:b/>
      </w:rPr>
      <w:ptab w:relativeTo="margin" w:alignment="right" w:leader="none"/>
    </w:r>
    <w:r w:rsidR="00764035">
      <w:fldChar w:fldCharType="begin"/>
    </w:r>
    <w:r w:rsidR="00441D37">
      <w:instrText xml:space="preserve"> PAGE   \* MERGEFORMAT </w:instrText>
    </w:r>
    <w:r w:rsidR="00764035">
      <w:fldChar w:fldCharType="separate"/>
    </w:r>
    <w:r w:rsidR="000267E7">
      <w:rPr>
        <w:noProof/>
      </w:rPr>
      <w:t>2</w:t>
    </w:r>
    <w:r w:rsidR="00764035">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E4" w:rsidRDefault="00816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DC" w:rsidRDefault="008775DC" w:rsidP="008B2C43">
      <w:pPr>
        <w:spacing w:after="0" w:line="240" w:lineRule="auto"/>
      </w:pPr>
      <w:r>
        <w:separator/>
      </w:r>
    </w:p>
  </w:footnote>
  <w:footnote w:type="continuationSeparator" w:id="0">
    <w:p w:rsidR="008775DC" w:rsidRDefault="008775DC" w:rsidP="008B2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E4" w:rsidRDefault="00816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5A" w:rsidRDefault="00A0425A">
    <w:pPr>
      <w:pStyle w:val="Header"/>
    </w:pPr>
    <w:r>
      <w:rPr>
        <w:rFonts w:cs="Frutiger-BoldCn"/>
        <w:b/>
        <w:bCs/>
        <w:color w:val="000000"/>
      </w:rPr>
      <w:t>Conflict Resolution Strategies</w:t>
    </w:r>
    <w:r w:rsidRPr="00006F65">
      <w:rPr>
        <w:rFonts w:cs="Arial"/>
        <w:b/>
        <w:bCs/>
      </w:rPr>
      <w:tab/>
    </w:r>
    <w:r w:rsidRPr="00006F65">
      <w:rPr>
        <w:rFonts w:cs="Arial"/>
        <w:b/>
        <w:bCs/>
      </w:rPr>
      <w:tab/>
    </w:r>
    <w:r>
      <w:rPr>
        <w:rFonts w:cs="Arial"/>
        <w:b/>
        <w:bCs/>
      </w:rPr>
      <w:tab/>
    </w:r>
    <w:r>
      <w:rPr>
        <w:rFonts w:cs="Arial"/>
        <w:b/>
        <w:bCs/>
      </w:rPr>
      <w:tab/>
    </w:r>
    <w:r w:rsidRPr="00006F65">
      <w:rPr>
        <w:rFonts w:cs="Frutiger-BoldCn"/>
        <w:b/>
        <w:bCs/>
        <w:color w:val="000000"/>
      </w:rPr>
      <w:t xml:space="preserve">Observational </w:t>
    </w:r>
    <w:r w:rsidR="00816EE4">
      <w:rPr>
        <w:rFonts w:cs="Frutiger-BoldCn"/>
        <w:b/>
        <w:bCs/>
        <w:color w:val="000000"/>
      </w:rPr>
      <w:t>Rubric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E4" w:rsidRDefault="00816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623"/>
    <w:multiLevelType w:val="hybridMultilevel"/>
    <w:tmpl w:val="8D9C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A4F63"/>
    <w:multiLevelType w:val="hybridMultilevel"/>
    <w:tmpl w:val="8B5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07A6"/>
    <w:rsid w:val="00020797"/>
    <w:rsid w:val="000267E7"/>
    <w:rsid w:val="000307A6"/>
    <w:rsid w:val="00032395"/>
    <w:rsid w:val="00045196"/>
    <w:rsid w:val="000520D2"/>
    <w:rsid w:val="00071D6E"/>
    <w:rsid w:val="00075BB1"/>
    <w:rsid w:val="000C52D3"/>
    <w:rsid w:val="000F7689"/>
    <w:rsid w:val="00104B41"/>
    <w:rsid w:val="001336E7"/>
    <w:rsid w:val="00137F4B"/>
    <w:rsid w:val="00141C3B"/>
    <w:rsid w:val="0014309B"/>
    <w:rsid w:val="001626F0"/>
    <w:rsid w:val="001634A1"/>
    <w:rsid w:val="001635B7"/>
    <w:rsid w:val="001637EE"/>
    <w:rsid w:val="0018363C"/>
    <w:rsid w:val="00192399"/>
    <w:rsid w:val="00193851"/>
    <w:rsid w:val="001D0673"/>
    <w:rsid w:val="001D41AE"/>
    <w:rsid w:val="001D44DB"/>
    <w:rsid w:val="001F30C6"/>
    <w:rsid w:val="001F6520"/>
    <w:rsid w:val="00226AD0"/>
    <w:rsid w:val="00233071"/>
    <w:rsid w:val="00243B23"/>
    <w:rsid w:val="00246A84"/>
    <w:rsid w:val="00250818"/>
    <w:rsid w:val="00257646"/>
    <w:rsid w:val="00274766"/>
    <w:rsid w:val="00275007"/>
    <w:rsid w:val="002944BB"/>
    <w:rsid w:val="002956E5"/>
    <w:rsid w:val="002C50AE"/>
    <w:rsid w:val="002C62F3"/>
    <w:rsid w:val="002C733C"/>
    <w:rsid w:val="002E42AE"/>
    <w:rsid w:val="002F01E0"/>
    <w:rsid w:val="00301FA7"/>
    <w:rsid w:val="00306F78"/>
    <w:rsid w:val="003101A1"/>
    <w:rsid w:val="00347431"/>
    <w:rsid w:val="003541EE"/>
    <w:rsid w:val="00366F78"/>
    <w:rsid w:val="00370B15"/>
    <w:rsid w:val="00372011"/>
    <w:rsid w:val="0037288C"/>
    <w:rsid w:val="0039008F"/>
    <w:rsid w:val="00392A07"/>
    <w:rsid w:val="003960EF"/>
    <w:rsid w:val="00396A4E"/>
    <w:rsid w:val="003A0D70"/>
    <w:rsid w:val="003A41D6"/>
    <w:rsid w:val="003B6241"/>
    <w:rsid w:val="003D097F"/>
    <w:rsid w:val="003D120E"/>
    <w:rsid w:val="003D613C"/>
    <w:rsid w:val="003E7264"/>
    <w:rsid w:val="003E7562"/>
    <w:rsid w:val="00401C4E"/>
    <w:rsid w:val="0040437B"/>
    <w:rsid w:val="0041340B"/>
    <w:rsid w:val="00424EC9"/>
    <w:rsid w:val="00432C7E"/>
    <w:rsid w:val="00441D37"/>
    <w:rsid w:val="00450BE0"/>
    <w:rsid w:val="004631D0"/>
    <w:rsid w:val="0046346C"/>
    <w:rsid w:val="00465333"/>
    <w:rsid w:val="00471274"/>
    <w:rsid w:val="0047131B"/>
    <w:rsid w:val="00481B6E"/>
    <w:rsid w:val="00491864"/>
    <w:rsid w:val="004A51EB"/>
    <w:rsid w:val="004B2F4A"/>
    <w:rsid w:val="004D6B3C"/>
    <w:rsid w:val="004F1779"/>
    <w:rsid w:val="004F307A"/>
    <w:rsid w:val="004F514D"/>
    <w:rsid w:val="00512570"/>
    <w:rsid w:val="00517209"/>
    <w:rsid w:val="005244DA"/>
    <w:rsid w:val="00535DD4"/>
    <w:rsid w:val="00563DDC"/>
    <w:rsid w:val="00567B64"/>
    <w:rsid w:val="00587E5E"/>
    <w:rsid w:val="00595975"/>
    <w:rsid w:val="005D06BD"/>
    <w:rsid w:val="005D2569"/>
    <w:rsid w:val="005F276C"/>
    <w:rsid w:val="006017B4"/>
    <w:rsid w:val="00611AB1"/>
    <w:rsid w:val="006134E1"/>
    <w:rsid w:val="0062740C"/>
    <w:rsid w:val="00637B28"/>
    <w:rsid w:val="006533A8"/>
    <w:rsid w:val="00692D90"/>
    <w:rsid w:val="006B34F4"/>
    <w:rsid w:val="006B4E2E"/>
    <w:rsid w:val="006E098D"/>
    <w:rsid w:val="006E3BB6"/>
    <w:rsid w:val="00701EAF"/>
    <w:rsid w:val="00712D7B"/>
    <w:rsid w:val="00741FF0"/>
    <w:rsid w:val="00764035"/>
    <w:rsid w:val="00770164"/>
    <w:rsid w:val="00770695"/>
    <w:rsid w:val="00776A22"/>
    <w:rsid w:val="00787C1A"/>
    <w:rsid w:val="007A78F9"/>
    <w:rsid w:val="007C788B"/>
    <w:rsid w:val="007E104D"/>
    <w:rsid w:val="007F1585"/>
    <w:rsid w:val="00816EE4"/>
    <w:rsid w:val="00824B28"/>
    <w:rsid w:val="0083131B"/>
    <w:rsid w:val="00833028"/>
    <w:rsid w:val="00836D3C"/>
    <w:rsid w:val="008407D6"/>
    <w:rsid w:val="00840F02"/>
    <w:rsid w:val="00853B67"/>
    <w:rsid w:val="00860DC2"/>
    <w:rsid w:val="00873E86"/>
    <w:rsid w:val="008775DC"/>
    <w:rsid w:val="008A4F8F"/>
    <w:rsid w:val="008A56DD"/>
    <w:rsid w:val="008B2BED"/>
    <w:rsid w:val="008B2C43"/>
    <w:rsid w:val="008D0355"/>
    <w:rsid w:val="008D5160"/>
    <w:rsid w:val="008F4AD2"/>
    <w:rsid w:val="008F7F79"/>
    <w:rsid w:val="0092206A"/>
    <w:rsid w:val="00940373"/>
    <w:rsid w:val="00940E5F"/>
    <w:rsid w:val="00960119"/>
    <w:rsid w:val="0096659D"/>
    <w:rsid w:val="00970ADA"/>
    <w:rsid w:val="0098270D"/>
    <w:rsid w:val="009842DB"/>
    <w:rsid w:val="009B7B0B"/>
    <w:rsid w:val="009D1FEE"/>
    <w:rsid w:val="009E0F91"/>
    <w:rsid w:val="009F424E"/>
    <w:rsid w:val="009F7CB0"/>
    <w:rsid w:val="00A0425A"/>
    <w:rsid w:val="00A07858"/>
    <w:rsid w:val="00A12506"/>
    <w:rsid w:val="00A37273"/>
    <w:rsid w:val="00A467BA"/>
    <w:rsid w:val="00A66F6E"/>
    <w:rsid w:val="00A741B9"/>
    <w:rsid w:val="00AA2C55"/>
    <w:rsid w:val="00AB0893"/>
    <w:rsid w:val="00AB15E6"/>
    <w:rsid w:val="00AC3E31"/>
    <w:rsid w:val="00AE4B81"/>
    <w:rsid w:val="00AE5710"/>
    <w:rsid w:val="00AF1B25"/>
    <w:rsid w:val="00AF66E0"/>
    <w:rsid w:val="00B0610C"/>
    <w:rsid w:val="00B2246D"/>
    <w:rsid w:val="00B46F49"/>
    <w:rsid w:val="00B70F65"/>
    <w:rsid w:val="00B92B6E"/>
    <w:rsid w:val="00B97804"/>
    <w:rsid w:val="00BA2C08"/>
    <w:rsid w:val="00BB767A"/>
    <w:rsid w:val="00BE03C2"/>
    <w:rsid w:val="00BE4750"/>
    <w:rsid w:val="00BE58AE"/>
    <w:rsid w:val="00BE64B3"/>
    <w:rsid w:val="00BE6B46"/>
    <w:rsid w:val="00BF691D"/>
    <w:rsid w:val="00C0711B"/>
    <w:rsid w:val="00C1142A"/>
    <w:rsid w:val="00C13149"/>
    <w:rsid w:val="00C16D17"/>
    <w:rsid w:val="00C257FE"/>
    <w:rsid w:val="00C3265F"/>
    <w:rsid w:val="00C34737"/>
    <w:rsid w:val="00C50E6F"/>
    <w:rsid w:val="00C61986"/>
    <w:rsid w:val="00C710CC"/>
    <w:rsid w:val="00C71763"/>
    <w:rsid w:val="00C95270"/>
    <w:rsid w:val="00C96AA3"/>
    <w:rsid w:val="00CA6527"/>
    <w:rsid w:val="00CA73A9"/>
    <w:rsid w:val="00CC17B4"/>
    <w:rsid w:val="00CD009D"/>
    <w:rsid w:val="00CE6527"/>
    <w:rsid w:val="00CF5BEA"/>
    <w:rsid w:val="00D116D5"/>
    <w:rsid w:val="00D27200"/>
    <w:rsid w:val="00D27D9E"/>
    <w:rsid w:val="00D36323"/>
    <w:rsid w:val="00D37B32"/>
    <w:rsid w:val="00D41DCD"/>
    <w:rsid w:val="00D466F6"/>
    <w:rsid w:val="00D51D7E"/>
    <w:rsid w:val="00D60297"/>
    <w:rsid w:val="00D66ED2"/>
    <w:rsid w:val="00D6745B"/>
    <w:rsid w:val="00D75ADF"/>
    <w:rsid w:val="00D80085"/>
    <w:rsid w:val="00DB5973"/>
    <w:rsid w:val="00DC3068"/>
    <w:rsid w:val="00DC40E3"/>
    <w:rsid w:val="00DD3758"/>
    <w:rsid w:val="00E02010"/>
    <w:rsid w:val="00E04AEA"/>
    <w:rsid w:val="00E20159"/>
    <w:rsid w:val="00E21889"/>
    <w:rsid w:val="00E62580"/>
    <w:rsid w:val="00E729D2"/>
    <w:rsid w:val="00E741A0"/>
    <w:rsid w:val="00E92395"/>
    <w:rsid w:val="00E93D26"/>
    <w:rsid w:val="00E96E61"/>
    <w:rsid w:val="00EA1ED2"/>
    <w:rsid w:val="00EB00DF"/>
    <w:rsid w:val="00EB7798"/>
    <w:rsid w:val="00EC4B69"/>
    <w:rsid w:val="00ED08B7"/>
    <w:rsid w:val="00EE0B03"/>
    <w:rsid w:val="00EE283A"/>
    <w:rsid w:val="00EF07F1"/>
    <w:rsid w:val="00EF48F7"/>
    <w:rsid w:val="00F055D3"/>
    <w:rsid w:val="00F225F8"/>
    <w:rsid w:val="00F30576"/>
    <w:rsid w:val="00F3544E"/>
    <w:rsid w:val="00F60F04"/>
    <w:rsid w:val="00F92A11"/>
    <w:rsid w:val="00F93DC2"/>
    <w:rsid w:val="00F95B55"/>
    <w:rsid w:val="00FA1C17"/>
    <w:rsid w:val="00FA1C46"/>
    <w:rsid w:val="00FA74A7"/>
    <w:rsid w:val="00FA7F56"/>
    <w:rsid w:val="00FC7512"/>
    <w:rsid w:val="00FD645D"/>
    <w:rsid w:val="00FF45E6"/>
    <w:rsid w:val="00FF5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37"/>
  </w:style>
  <w:style w:type="paragraph" w:styleId="Heading2">
    <w:name w:val="heading 2"/>
    <w:basedOn w:val="Normal"/>
    <w:next w:val="Normal"/>
    <w:link w:val="Heading2Char"/>
    <w:uiPriority w:val="9"/>
    <w:unhideWhenUsed/>
    <w:qFormat/>
    <w:rsid w:val="00030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7A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30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07A6"/>
    <w:pPr>
      <w:ind w:left="720"/>
      <w:contextualSpacing/>
    </w:pPr>
    <w:rPr>
      <w:rFonts w:eastAsiaTheme="minorEastAsia"/>
    </w:rPr>
  </w:style>
  <w:style w:type="character" w:styleId="CommentReference">
    <w:name w:val="annotation reference"/>
    <w:basedOn w:val="DefaultParagraphFont"/>
    <w:uiPriority w:val="99"/>
    <w:semiHidden/>
    <w:unhideWhenUsed/>
    <w:rsid w:val="000307A6"/>
    <w:rPr>
      <w:sz w:val="18"/>
      <w:szCs w:val="18"/>
    </w:rPr>
  </w:style>
  <w:style w:type="paragraph" w:customStyle="1" w:styleId="TableGrid1">
    <w:name w:val="Table Grid1"/>
    <w:rsid w:val="000307A6"/>
    <w:pPr>
      <w:spacing w:after="0" w:line="240" w:lineRule="auto"/>
    </w:pPr>
    <w:rPr>
      <w:rFonts w:ascii="Lucida Grande" w:eastAsia="ヒラギノ角ゴ Pro W3" w:hAnsi="Lucida Grande" w:cs="Times New Roman"/>
      <w:color w:val="000000"/>
      <w:szCs w:val="20"/>
    </w:rPr>
  </w:style>
  <w:style w:type="paragraph" w:styleId="Header">
    <w:name w:val="header"/>
    <w:basedOn w:val="Normal"/>
    <w:link w:val="HeaderChar"/>
    <w:uiPriority w:val="99"/>
    <w:unhideWhenUsed/>
    <w:rsid w:val="00030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7A6"/>
  </w:style>
  <w:style w:type="paragraph" w:styleId="CommentText">
    <w:name w:val="annotation text"/>
    <w:basedOn w:val="Normal"/>
    <w:link w:val="CommentTextChar"/>
    <w:uiPriority w:val="99"/>
    <w:semiHidden/>
    <w:unhideWhenUsed/>
    <w:rsid w:val="00D466F6"/>
    <w:pPr>
      <w:spacing w:line="240" w:lineRule="auto"/>
    </w:pPr>
    <w:rPr>
      <w:sz w:val="20"/>
      <w:szCs w:val="20"/>
    </w:rPr>
  </w:style>
  <w:style w:type="character" w:customStyle="1" w:styleId="CommentTextChar">
    <w:name w:val="Comment Text Char"/>
    <w:basedOn w:val="DefaultParagraphFont"/>
    <w:link w:val="CommentText"/>
    <w:uiPriority w:val="99"/>
    <w:semiHidden/>
    <w:rsid w:val="00D466F6"/>
    <w:rPr>
      <w:sz w:val="20"/>
      <w:szCs w:val="20"/>
    </w:rPr>
  </w:style>
  <w:style w:type="paragraph" w:styleId="CommentSubject">
    <w:name w:val="annotation subject"/>
    <w:basedOn w:val="CommentText"/>
    <w:next w:val="CommentText"/>
    <w:link w:val="CommentSubjectChar"/>
    <w:uiPriority w:val="99"/>
    <w:semiHidden/>
    <w:unhideWhenUsed/>
    <w:rsid w:val="00D466F6"/>
    <w:rPr>
      <w:b/>
      <w:bCs/>
    </w:rPr>
  </w:style>
  <w:style w:type="character" w:customStyle="1" w:styleId="CommentSubjectChar">
    <w:name w:val="Comment Subject Char"/>
    <w:basedOn w:val="CommentTextChar"/>
    <w:link w:val="CommentSubject"/>
    <w:uiPriority w:val="99"/>
    <w:semiHidden/>
    <w:rsid w:val="00D466F6"/>
    <w:rPr>
      <w:b/>
      <w:bCs/>
      <w:sz w:val="20"/>
      <w:szCs w:val="20"/>
    </w:rPr>
  </w:style>
  <w:style w:type="paragraph" w:styleId="BalloonText">
    <w:name w:val="Balloon Text"/>
    <w:basedOn w:val="Normal"/>
    <w:link w:val="BalloonTextChar"/>
    <w:uiPriority w:val="99"/>
    <w:semiHidden/>
    <w:unhideWhenUsed/>
    <w:rsid w:val="00D4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F6"/>
    <w:rPr>
      <w:rFonts w:ascii="Tahoma" w:hAnsi="Tahoma" w:cs="Tahoma"/>
      <w:sz w:val="16"/>
      <w:szCs w:val="16"/>
    </w:rPr>
  </w:style>
  <w:style w:type="paragraph" w:styleId="Footer">
    <w:name w:val="footer"/>
    <w:basedOn w:val="Normal"/>
    <w:link w:val="FooterChar"/>
    <w:uiPriority w:val="99"/>
    <w:unhideWhenUsed/>
    <w:rsid w:val="008B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43"/>
  </w:style>
  <w:style w:type="paragraph" w:styleId="Revision">
    <w:name w:val="Revision"/>
    <w:hidden/>
    <w:uiPriority w:val="99"/>
    <w:semiHidden/>
    <w:rsid w:val="00EF48F7"/>
    <w:pPr>
      <w:spacing w:after="0" w:line="240" w:lineRule="auto"/>
    </w:pPr>
  </w:style>
  <w:style w:type="character" w:styleId="Hyperlink">
    <w:name w:val="Hyperlink"/>
    <w:basedOn w:val="DefaultParagraphFont"/>
    <w:uiPriority w:val="99"/>
    <w:rsid w:val="00B92B6E"/>
    <w:rPr>
      <w:color w:val="0000FF"/>
      <w:u w:val="single"/>
    </w:rPr>
  </w:style>
  <w:style w:type="paragraph" w:customStyle="1" w:styleId="ColorfulList-Accent11">
    <w:name w:val="Colorful List - Accent 11"/>
    <w:qFormat/>
    <w:rsid w:val="000520D2"/>
    <w:pPr>
      <w:pBdr>
        <w:top w:val="none" w:sz="16" w:space="0" w:color="000000"/>
        <w:left w:val="none" w:sz="16" w:space="0" w:color="000000"/>
        <w:bottom w:val="none" w:sz="16" w:space="0" w:color="000000"/>
        <w:right w:val="none" w:sz="16" w:space="0" w:color="000000"/>
      </w:pBdr>
      <w:ind w:left="720"/>
    </w:pPr>
    <w:rPr>
      <w:rFonts w:ascii="Trebuchet MS" w:eastAsia="ヒラギノ角ゴ Pro W3" w:hAnsi="Trebuchet MS" w:cs="Times New Roman"/>
      <w:color w:val="000000"/>
      <w:szCs w:val="20"/>
      <w:u w:color="000000"/>
    </w:rPr>
  </w:style>
</w:styles>
</file>

<file path=word/webSettings.xml><?xml version="1.0" encoding="utf-8"?>
<w:webSettings xmlns:r="http://schemas.openxmlformats.org/officeDocument/2006/relationships" xmlns:w="http://schemas.openxmlformats.org/wordprocessingml/2006/main">
  <w:divs>
    <w:div w:id="5631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7BF1A-B70B-407A-84EE-D791172A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Nedrow</dc:creator>
  <cp:lastModifiedBy>Sara Miller</cp:lastModifiedBy>
  <cp:revision>12</cp:revision>
  <cp:lastPrinted>2014-11-06T01:41:00Z</cp:lastPrinted>
  <dcterms:created xsi:type="dcterms:W3CDTF">2015-05-03T19:00:00Z</dcterms:created>
  <dcterms:modified xsi:type="dcterms:W3CDTF">2015-05-22T22:23:00Z</dcterms:modified>
</cp:coreProperties>
</file>